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A3CF6" w14:textId="77777777" w:rsidR="00150D46" w:rsidRPr="00150D46" w:rsidRDefault="00150D46" w:rsidP="00150D46">
      <w:pPr>
        <w:widowControl/>
        <w:spacing w:after="160" w:line="259" w:lineRule="auto"/>
        <w:jc w:val="right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 xml:space="preserve">Załącznik Nr 1 do SWZ / umowy </w:t>
      </w:r>
    </w:p>
    <w:p w14:paraId="4F614E4E" w14:textId="77777777" w:rsidR="00150D46" w:rsidRPr="00150D46" w:rsidRDefault="00150D46" w:rsidP="00150D46">
      <w:pPr>
        <w:widowControl/>
        <w:spacing w:after="160" w:line="259" w:lineRule="auto"/>
        <w:jc w:val="right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</w:p>
    <w:p w14:paraId="6305F53B" w14:textId="77777777" w:rsidR="00150D46" w:rsidRPr="00150D46" w:rsidRDefault="00150D46" w:rsidP="00150D46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OPIS PRZEDMIOTU ZAMÓWIENIA</w:t>
      </w:r>
    </w:p>
    <w:p w14:paraId="769DB724" w14:textId="77777777" w:rsidR="00150D46" w:rsidRPr="00150D46" w:rsidRDefault="00150D46" w:rsidP="00150D46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</w:p>
    <w:p w14:paraId="1B87D0B3" w14:textId="6B45390F" w:rsidR="00150D46" w:rsidRPr="00150D46" w:rsidRDefault="00150D46">
      <w:pPr>
        <w:widowControl/>
        <w:numPr>
          <w:ilvl w:val="0"/>
          <w:numId w:val="1"/>
        </w:numPr>
        <w:tabs>
          <w:tab w:val="left" w:pos="284"/>
        </w:tabs>
        <w:spacing w:after="160" w:line="259" w:lineRule="auto"/>
        <w:ind w:left="142" w:hanging="142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Przedmiotem zamówienia jest wykonanie robót budowlanych  w budynku Sądu Rejonowego dla m.st. Warszawy w Warszawie przy ul. Czerniakowskiej 100</w:t>
      </w:r>
      <w:r w:rsidR="00655F17">
        <w:rPr>
          <w:rFonts w:ascii="Garamond" w:eastAsiaTheme="minorHAnsi" w:hAnsi="Garamond" w:cs="Times New Roman"/>
          <w:color w:val="auto"/>
          <w:lang w:eastAsia="en-US" w:bidi="ar-SA"/>
        </w:rPr>
        <w:t>A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w Warszawie. </w:t>
      </w:r>
    </w:p>
    <w:p w14:paraId="445E16CE" w14:textId="77777777" w:rsidR="00150D46" w:rsidRPr="00150D46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Zakresem robót budowlanych objęte są pokoje: </w:t>
      </w:r>
    </w:p>
    <w:p w14:paraId="689DA404" w14:textId="73BF1192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128</w:t>
      </w:r>
      <w:r w:rsidR="00213646">
        <w:rPr>
          <w:rFonts w:ascii="Garamond" w:eastAsia="Times New Roman" w:hAnsi="Garamond" w:cs="Times New Roman"/>
          <w:color w:val="auto"/>
          <w:lang w:bidi="ar-SA"/>
        </w:rPr>
        <w:t xml:space="preserve"> 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pow.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4</w:t>
      </w:r>
      <w:r w:rsidR="00213646">
        <w:rPr>
          <w:rFonts w:ascii="Garamond" w:eastAsia="Times New Roman" w:hAnsi="Garamond" w:cs="Times New Roman"/>
          <w:color w:val="auto"/>
          <w:lang w:bidi="ar-SA"/>
        </w:rPr>
        <w:t>,</w:t>
      </w:r>
      <w:r w:rsidR="00C447F5">
        <w:rPr>
          <w:rFonts w:ascii="Garamond" w:eastAsia="Times New Roman" w:hAnsi="Garamond" w:cs="Times New Roman"/>
          <w:color w:val="auto"/>
          <w:lang w:bidi="ar-SA"/>
        </w:rPr>
        <w:t>3</w:t>
      </w:r>
      <w:r w:rsidR="00213646">
        <w:rPr>
          <w:rFonts w:ascii="Garamond" w:eastAsia="Times New Roman" w:hAnsi="Garamond" w:cs="Times New Roman"/>
          <w:color w:val="auto"/>
          <w:lang w:bidi="ar-SA"/>
        </w:rPr>
        <w:t>0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 </w:t>
      </w:r>
    </w:p>
    <w:p w14:paraId="02AA1CBA" w14:textId="28E101B0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>pok.</w:t>
      </w:r>
      <w:r w:rsidR="00213646">
        <w:rPr>
          <w:rFonts w:ascii="Garamond" w:eastAsia="Times New Roman" w:hAnsi="Garamond" w:cs="Times New Roman"/>
          <w:color w:val="auto"/>
          <w:lang w:bidi="ar-SA"/>
        </w:rPr>
        <w:t xml:space="preserve"> </w:t>
      </w:r>
      <w:r w:rsidR="00C447F5">
        <w:rPr>
          <w:rFonts w:ascii="Garamond" w:eastAsia="Times New Roman" w:hAnsi="Garamond" w:cs="Times New Roman"/>
          <w:color w:val="auto"/>
          <w:lang w:bidi="ar-SA"/>
        </w:rPr>
        <w:t>128A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20,56</w:t>
      </w:r>
      <w:r w:rsidR="00213646">
        <w:rPr>
          <w:rFonts w:ascii="Garamond" w:eastAsia="Times New Roman" w:hAnsi="Garamond" w:cs="Times New Roman"/>
          <w:color w:val="auto"/>
          <w:lang w:bidi="ar-SA"/>
        </w:rPr>
        <w:t xml:space="preserve"> </w:t>
      </w:r>
      <w:r w:rsidRPr="00150D46">
        <w:rPr>
          <w:rFonts w:ascii="Garamond" w:eastAsia="Times New Roman" w:hAnsi="Garamond" w:cs="Times New Roman"/>
          <w:color w:val="auto"/>
          <w:lang w:bidi="ar-SA"/>
        </w:rPr>
        <w:t>m2,</w:t>
      </w:r>
    </w:p>
    <w:p w14:paraId="531CB4EE" w14:textId="001E92FE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128B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16,16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</w:t>
      </w:r>
    </w:p>
    <w:p w14:paraId="0F55F27F" w14:textId="06269728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129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15,32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</w:t>
      </w:r>
    </w:p>
    <w:p w14:paraId="6F44A90E" w14:textId="64C516B0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130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 w:rsidR="00C447F5">
        <w:rPr>
          <w:rFonts w:ascii="Garamond" w:eastAsia="Times New Roman" w:hAnsi="Garamond" w:cs="Times New Roman"/>
          <w:color w:val="auto"/>
          <w:lang w:bidi="ar-SA"/>
        </w:rPr>
        <w:t>4,53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</w:t>
      </w:r>
    </w:p>
    <w:p w14:paraId="030A22CA" w14:textId="31990774" w:rsidR="00C447F5" w:rsidRPr="00150D46" w:rsidRDefault="00C447F5" w:rsidP="00C447F5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>
        <w:rPr>
          <w:rFonts w:ascii="Garamond" w:eastAsia="Times New Roman" w:hAnsi="Garamond" w:cs="Times New Roman"/>
          <w:color w:val="auto"/>
          <w:lang w:bidi="ar-SA"/>
        </w:rPr>
        <w:t>130A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>
        <w:rPr>
          <w:rFonts w:ascii="Garamond" w:eastAsia="Times New Roman" w:hAnsi="Garamond" w:cs="Times New Roman"/>
          <w:color w:val="auto"/>
          <w:lang w:bidi="ar-SA"/>
        </w:rPr>
        <w:t>15,44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</w:t>
      </w:r>
    </w:p>
    <w:p w14:paraId="5AB38F40" w14:textId="47DBE851" w:rsidR="00C447F5" w:rsidRPr="00150D46" w:rsidRDefault="00C447F5" w:rsidP="00C447F5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>
        <w:rPr>
          <w:rFonts w:ascii="Garamond" w:eastAsia="Times New Roman" w:hAnsi="Garamond" w:cs="Times New Roman"/>
          <w:color w:val="auto"/>
          <w:lang w:bidi="ar-SA"/>
        </w:rPr>
        <w:t>130B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>
        <w:rPr>
          <w:rFonts w:ascii="Garamond" w:eastAsia="Times New Roman" w:hAnsi="Garamond" w:cs="Times New Roman"/>
          <w:color w:val="auto"/>
          <w:lang w:bidi="ar-SA"/>
        </w:rPr>
        <w:t>24,50</w:t>
      </w:r>
      <w:r w:rsidRPr="00150D46">
        <w:rPr>
          <w:rFonts w:ascii="Garamond" w:eastAsia="Times New Roman" w:hAnsi="Garamond" w:cs="Times New Roman"/>
          <w:color w:val="auto"/>
          <w:lang w:bidi="ar-SA"/>
        </w:rPr>
        <w:t>m2,</w:t>
      </w:r>
    </w:p>
    <w:p w14:paraId="408E4C63" w14:textId="777B1A65" w:rsidR="00C447F5" w:rsidRPr="00150D46" w:rsidRDefault="00C447F5" w:rsidP="00C447F5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>
        <w:rPr>
          <w:rFonts w:ascii="Garamond" w:eastAsia="Times New Roman" w:hAnsi="Garamond" w:cs="Times New Roman"/>
          <w:color w:val="auto"/>
          <w:lang w:bidi="ar-SA"/>
        </w:rPr>
        <w:t>131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 w:rsidR="00DF26D2">
        <w:rPr>
          <w:rFonts w:ascii="Garamond" w:eastAsia="Times New Roman" w:hAnsi="Garamond" w:cs="Times New Roman"/>
          <w:color w:val="auto"/>
          <w:lang w:bidi="ar-SA"/>
        </w:rPr>
        <w:t>15</w:t>
      </w:r>
      <w:r>
        <w:rPr>
          <w:rFonts w:ascii="Garamond" w:eastAsia="Times New Roman" w:hAnsi="Garamond" w:cs="Times New Roman"/>
          <w:color w:val="auto"/>
          <w:lang w:bidi="ar-SA"/>
        </w:rPr>
        <w:t>,</w:t>
      </w:r>
      <w:r w:rsidR="00DF26D2">
        <w:rPr>
          <w:rFonts w:ascii="Garamond" w:eastAsia="Times New Roman" w:hAnsi="Garamond" w:cs="Times New Roman"/>
          <w:color w:val="auto"/>
          <w:lang w:bidi="ar-SA"/>
        </w:rPr>
        <w:t>09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</w:t>
      </w:r>
    </w:p>
    <w:p w14:paraId="774B9169" w14:textId="79E56319" w:rsidR="00C447F5" w:rsidRPr="00150D46" w:rsidRDefault="00C447F5" w:rsidP="00C447F5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>
        <w:rPr>
          <w:rFonts w:ascii="Garamond" w:eastAsia="Times New Roman" w:hAnsi="Garamond" w:cs="Times New Roman"/>
          <w:color w:val="auto"/>
          <w:lang w:bidi="ar-SA"/>
        </w:rPr>
        <w:t>132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 w:rsidR="00DF26D2">
        <w:rPr>
          <w:rFonts w:ascii="Garamond" w:eastAsia="Times New Roman" w:hAnsi="Garamond" w:cs="Times New Roman"/>
          <w:color w:val="auto"/>
          <w:lang w:bidi="ar-SA"/>
        </w:rPr>
        <w:t>20</w:t>
      </w:r>
      <w:r>
        <w:rPr>
          <w:rFonts w:ascii="Garamond" w:eastAsia="Times New Roman" w:hAnsi="Garamond" w:cs="Times New Roman"/>
          <w:color w:val="auto"/>
          <w:lang w:bidi="ar-SA"/>
        </w:rPr>
        <w:t>,</w:t>
      </w:r>
      <w:r w:rsidR="00DF26D2">
        <w:rPr>
          <w:rFonts w:ascii="Garamond" w:eastAsia="Times New Roman" w:hAnsi="Garamond" w:cs="Times New Roman"/>
          <w:color w:val="auto"/>
          <w:lang w:bidi="ar-SA"/>
        </w:rPr>
        <w:t>23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</w:t>
      </w:r>
    </w:p>
    <w:p w14:paraId="6F567D37" w14:textId="079414AB" w:rsidR="00C447F5" w:rsidRPr="00150D46" w:rsidRDefault="00C447F5" w:rsidP="00C447F5">
      <w:pPr>
        <w:widowControl/>
        <w:rPr>
          <w:rFonts w:ascii="Garamond" w:eastAsia="Times New Roman" w:hAnsi="Garamond" w:cs="Times New Roman"/>
          <w:color w:val="auto"/>
          <w:lang w:bidi="ar-SA"/>
        </w:rPr>
      </w:pP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pok. </w:t>
      </w:r>
      <w:r>
        <w:rPr>
          <w:rFonts w:ascii="Garamond" w:eastAsia="Times New Roman" w:hAnsi="Garamond" w:cs="Times New Roman"/>
          <w:color w:val="auto"/>
          <w:lang w:bidi="ar-SA"/>
        </w:rPr>
        <w:t>133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pow. </w:t>
      </w:r>
      <w:r w:rsidR="00DF26D2">
        <w:rPr>
          <w:rFonts w:ascii="Garamond" w:eastAsia="Times New Roman" w:hAnsi="Garamond" w:cs="Times New Roman"/>
          <w:color w:val="auto"/>
          <w:lang w:bidi="ar-SA"/>
        </w:rPr>
        <w:t>12</w:t>
      </w:r>
      <w:r>
        <w:rPr>
          <w:rFonts w:ascii="Garamond" w:eastAsia="Times New Roman" w:hAnsi="Garamond" w:cs="Times New Roman"/>
          <w:color w:val="auto"/>
          <w:lang w:bidi="ar-SA"/>
        </w:rPr>
        <w:t>,</w:t>
      </w:r>
      <w:r w:rsidR="00DF26D2">
        <w:rPr>
          <w:rFonts w:ascii="Garamond" w:eastAsia="Times New Roman" w:hAnsi="Garamond" w:cs="Times New Roman"/>
          <w:color w:val="auto"/>
          <w:lang w:bidi="ar-SA"/>
        </w:rPr>
        <w:t>24</w:t>
      </w:r>
      <w:r w:rsidRPr="00150D46">
        <w:rPr>
          <w:rFonts w:ascii="Garamond" w:eastAsia="Times New Roman" w:hAnsi="Garamond" w:cs="Times New Roman"/>
          <w:color w:val="auto"/>
          <w:lang w:bidi="ar-SA"/>
        </w:rPr>
        <w:t xml:space="preserve"> m2,</w:t>
      </w:r>
    </w:p>
    <w:p w14:paraId="30E4ADD8" w14:textId="77777777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4FEE0E76" w14:textId="77777777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7AAD9A48" w14:textId="77777777" w:rsidR="00150D46" w:rsidRPr="00150D46" w:rsidRDefault="00150D46" w:rsidP="00150D46">
      <w:pPr>
        <w:widowControl/>
        <w:rPr>
          <w:rFonts w:ascii="Garamond" w:eastAsia="Times New Roman" w:hAnsi="Garamond" w:cs="Calibri"/>
          <w:color w:val="auto"/>
          <w:lang w:bidi="ar-SA"/>
        </w:rPr>
      </w:pPr>
    </w:p>
    <w:p w14:paraId="7104BF0E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naprawa tynków</w:t>
      </w:r>
    </w:p>
    <w:p w14:paraId="5E226283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gruntowaniem podłoży</w:t>
      </w:r>
    </w:p>
    <w:p w14:paraId="682A211E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malowaniem ścian</w:t>
      </w:r>
    </w:p>
    <w:p w14:paraId="33455A76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położeniem paneli winylowych</w:t>
      </w:r>
    </w:p>
    <w:p w14:paraId="06AC1D30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- prace związane z montażem listew podłogowych</w:t>
      </w:r>
    </w:p>
    <w:p w14:paraId="13E87662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8124D11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Parametry paneli:</w:t>
      </w:r>
    </w:p>
    <w:p w14:paraId="5123593F" w14:textId="77777777" w:rsidR="00150D46" w:rsidRPr="00851369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4239815" w14:textId="0EF9D686" w:rsidR="00150D46" w:rsidRPr="00851369" w:rsidRDefault="00150D46" w:rsidP="00150D46">
      <w:pPr>
        <w:widowControl/>
        <w:spacing w:line="360" w:lineRule="auto"/>
        <w:ind w:left="720" w:right="-143"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>Powierzchnie podłóg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– muszą być łatwe do czyszczenia oraz w miarę potrzeb do dezynfekcji. Wymaga to stosowania powierzchni nieprzepuszczalnych, niepochłaniających, zmywalnych oraz nietoksycznych. Ponadto pod wszystkie powierzchnie podłóg jest możliwość zastosowania akustycznego podkładu jednostronnie klejącego, który</w:t>
      </w:r>
      <w:r w:rsidRPr="00851369">
        <w:rPr>
          <w:rFonts w:ascii="Garamond" w:eastAsia="Times New Roman" w:hAnsi="Garamond" w:cs="Arial"/>
          <w:color w:val="auto"/>
          <w:lang w:bidi="ar-SA"/>
        </w:rPr>
        <w:t xml:space="preserve"> </w:t>
      </w:r>
      <w:r w:rsidRPr="00851369">
        <w:rPr>
          <w:rFonts w:ascii="Garamond" w:eastAsia="Times New Roman" w:hAnsi="Garamond" w:cs="Arial"/>
          <w:lang w:bidi="ar-SA"/>
        </w:rPr>
        <w:t>jest podkładem ze zintegrowaną siatką stabilizującą oraz klejem (</w:t>
      </w:r>
      <w:r w:rsidRPr="00851369">
        <w:rPr>
          <w:rFonts w:ascii="Garamond" w:eastAsia="Times New Roman" w:hAnsi="Garamond" w:cs="Times New Roman"/>
          <w:color w:val="auto"/>
          <w:lang w:bidi="ar-SA"/>
        </w:rPr>
        <w:t>pozwala na szybką i</w:t>
      </w:r>
      <w:r w:rsidR="00655F17">
        <w:rPr>
          <w:rFonts w:ascii="Garamond" w:eastAsia="Times New Roman" w:hAnsi="Garamond" w:cs="Times New Roman"/>
          <w:color w:val="auto"/>
          <w:lang w:bidi="ar-SA"/>
        </w:rPr>
        <w:t> 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bezproblemową instalację podłóg winylowych w systemie podłogi pływającej, bez </w:t>
      </w:r>
      <w:r w:rsidRPr="00851369">
        <w:rPr>
          <w:rFonts w:ascii="Garamond" w:eastAsia="Times New Roman" w:hAnsi="Garamond" w:cs="Times New Roman"/>
          <w:color w:val="auto"/>
          <w:lang w:bidi="ar-SA"/>
        </w:rPr>
        <w:lastRenderedPageBreak/>
        <w:t>konieczności wyrównywania podłoża i stosowania kleju - niweluje drobne nierówności posadzki max do 1mm).</w:t>
      </w:r>
    </w:p>
    <w:p w14:paraId="748E416E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567" w:right="-143"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Arial"/>
          <w:lang w:bidi="ar-SA"/>
        </w:rPr>
        <w:t xml:space="preserve">. </w:t>
      </w:r>
    </w:p>
    <w:p w14:paraId="10711712" w14:textId="77777777" w:rsidR="00150D46" w:rsidRPr="00851369" w:rsidRDefault="00150D46" w:rsidP="00150D46">
      <w:pPr>
        <w:widowControl/>
        <w:spacing w:line="360" w:lineRule="auto"/>
        <w:ind w:right="-143"/>
        <w:jc w:val="both"/>
        <w:rPr>
          <w:rFonts w:ascii="Garamond" w:eastAsia="Times New Roman" w:hAnsi="Garamond" w:cs="Times New Roman"/>
          <w:b/>
          <w:i/>
          <w:color w:val="auto"/>
          <w:lang w:bidi="ar-SA"/>
        </w:rPr>
      </w:pPr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ab/>
        <w:t xml:space="preserve">Parametry techniczne elastycznych paneli </w:t>
      </w:r>
      <w:proofErr w:type="spellStart"/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>lvt</w:t>
      </w:r>
      <w:proofErr w:type="spellEnd"/>
      <w:r w:rsidRPr="00851369">
        <w:rPr>
          <w:rFonts w:ascii="Garamond" w:eastAsia="Times New Roman" w:hAnsi="Garamond" w:cs="Times New Roman"/>
          <w:b/>
          <w:i/>
          <w:color w:val="auto"/>
          <w:lang w:bidi="ar-SA"/>
        </w:rPr>
        <w:t>:</w:t>
      </w:r>
    </w:p>
    <w:p w14:paraId="5D8EB5A0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Heterogeniczne, elastyczne panele podłogowe LVT o wysokiej wytrzymałości,  naturalnie odzwierciedlające drewno lub kamień. Format paneli kształtem musi przypominać deski  o rozmiarze np. min. 1219,2 x 184,15 mm oraz płytki o rozmiarze np. min. 304,8 x 609,6 mm. Wysoki parametr antypoślizgowy R10 pozwala na zastosowanie paneli w budynkach użyteczności publicznej np. teatry, kawiarnie, restauracje, budynki służby zdrowia itp. Panele powinny posiadać </w:t>
      </w:r>
      <w:proofErr w:type="spellStart"/>
      <w:r w:rsidRPr="00851369">
        <w:rPr>
          <w:rFonts w:ascii="Garamond" w:eastAsia="Times New Roman" w:hAnsi="Garamond" w:cs="Times New Roman"/>
          <w:color w:val="auto"/>
          <w:lang w:bidi="ar-SA"/>
        </w:rPr>
        <w:t>minifazkę</w:t>
      </w:r>
      <w:proofErr w:type="spellEnd"/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(V-fugę), aby jak najbardziej przypominały naturalną podłogę.</w:t>
      </w:r>
    </w:p>
    <w:p w14:paraId="46DA9BC8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4B972DA2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Grubość całkowita wg EN 24346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3.0 mm</w:t>
      </w:r>
    </w:p>
    <w:p w14:paraId="01BE81DD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Grubość warstwy ścieralnej wg EN 24340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0.8 mm</w:t>
      </w:r>
    </w:p>
    <w:p w14:paraId="04889EE1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Waga całkowita wg EN 23997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5400 g/m²</w:t>
      </w:r>
    </w:p>
    <w:p w14:paraId="0843DBEF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Klasa użytkowa wg EN 10874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- 23/33/43</w:t>
      </w:r>
    </w:p>
    <w:p w14:paraId="2E592127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Stabilność wymiarowa wg EN 23999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≤ 0.05 %  </w:t>
      </w:r>
    </w:p>
    <w:p w14:paraId="2C59AEBD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Prostokątność i prostoliniowość wg EN 24342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≤ 0.05 mm</w:t>
      </w:r>
    </w:p>
    <w:p w14:paraId="079145E1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Wgniecenia resztkowe wg EN 24343-1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max 0.03 mm</w:t>
      </w:r>
    </w:p>
    <w:p w14:paraId="6B328B92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Odporność chemiczna wg EN 423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min. Klasa 0 – </w:t>
      </w:r>
      <w:proofErr w:type="spellStart"/>
      <w:r w:rsidRPr="00851369">
        <w:rPr>
          <w:rFonts w:ascii="Garamond" w:eastAsia="Times New Roman" w:hAnsi="Garamond" w:cs="Times New Roman"/>
          <w:color w:val="auto"/>
          <w:lang w:bidi="ar-SA"/>
        </w:rPr>
        <w:t>Excellent</w:t>
      </w:r>
      <w:proofErr w:type="spellEnd"/>
    </w:p>
    <w:p w14:paraId="0D216125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Odporność na poślizg wg EN 13036-4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PTV warunki suche </w:t>
      </w:r>
      <w:r w:rsidRPr="00851369">
        <w:rPr>
          <w:rFonts w:ascii="Garamond" w:eastAsia="Times New Roman" w:hAnsi="Garamond" w:cs="Arial"/>
          <w:color w:val="auto"/>
          <w:lang w:bidi="ar-SA"/>
        </w:rPr>
        <w:t>≥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100</w:t>
      </w:r>
    </w:p>
    <w:p w14:paraId="54987AB8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6372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- PTV warunki mokre </w:t>
      </w:r>
      <w:r w:rsidRPr="00851369">
        <w:rPr>
          <w:rFonts w:ascii="Garamond" w:eastAsia="Times New Roman" w:hAnsi="Garamond" w:cs="Arial"/>
          <w:color w:val="auto"/>
          <w:lang w:bidi="ar-SA"/>
        </w:rPr>
        <w:t>≥</w:t>
      </w: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40</w:t>
      </w:r>
    </w:p>
    <w:p w14:paraId="78A8BA1C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Dynamiczny współczynnik tarcia wg EN 13893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 xml:space="preserve">- </w:t>
      </w:r>
      <w:r w:rsidRPr="00851369">
        <w:rPr>
          <w:rFonts w:ascii="Garamond" w:eastAsia="Times New Roman" w:hAnsi="Garamond" w:cs="Arial"/>
          <w:color w:val="auto"/>
          <w:lang w:bidi="ar-SA"/>
        </w:rPr>
        <w:t>min. μ = 0,51</w:t>
      </w:r>
    </w:p>
    <w:p w14:paraId="7BF8B922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Klasa ścieralności wg EN 660-1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Grupa T</w:t>
      </w:r>
    </w:p>
    <w:p w14:paraId="0FE33C06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Trwałość  koloru  ISO 105-B02 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min. 6</w:t>
      </w:r>
    </w:p>
    <w:p w14:paraId="1B827099" w14:textId="77777777" w:rsidR="00150D46" w:rsidRPr="00851369" w:rsidRDefault="00150D46">
      <w:pPr>
        <w:widowControl/>
        <w:numPr>
          <w:ilvl w:val="0"/>
          <w:numId w:val="2"/>
        </w:numPr>
        <w:autoSpaceDE w:val="0"/>
        <w:autoSpaceDN w:val="0"/>
        <w:spacing w:after="160" w:line="360" w:lineRule="auto"/>
        <w:contextualSpacing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t>Emisja TVOC po 28 dniach</w:t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</w:r>
      <w:r w:rsidRPr="00851369">
        <w:rPr>
          <w:rFonts w:ascii="Garamond" w:eastAsia="Times New Roman" w:hAnsi="Garamond" w:cs="Times New Roman"/>
          <w:color w:val="auto"/>
          <w:lang w:bidi="ar-SA"/>
        </w:rPr>
        <w:tab/>
        <w:t>- klasa A+</w:t>
      </w:r>
    </w:p>
    <w:p w14:paraId="76265CD2" w14:textId="77777777" w:rsidR="00150D46" w:rsidRPr="00851369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rPr>
          <w:rFonts w:ascii="Garamond" w:eastAsia="Times New Roman" w:hAnsi="Garamond" w:cs="Times New Roman"/>
          <w:color w:val="auto"/>
          <w:lang w:bidi="ar-SA"/>
        </w:rPr>
      </w:pPr>
    </w:p>
    <w:p w14:paraId="38C3C9D1" w14:textId="77777777" w:rsidR="00150D46" w:rsidRPr="00150D46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51369">
        <w:rPr>
          <w:rFonts w:ascii="Garamond" w:eastAsia="Times New Roman" w:hAnsi="Garamond" w:cs="Times New Roman"/>
          <w:color w:val="auto"/>
          <w:lang w:bidi="ar-SA"/>
        </w:rPr>
        <w:lastRenderedPageBreak/>
        <w:t xml:space="preserve">Panele </w:t>
      </w:r>
      <w:proofErr w:type="spellStart"/>
      <w:r w:rsidRPr="00851369">
        <w:rPr>
          <w:rFonts w:ascii="Garamond" w:eastAsia="Times New Roman" w:hAnsi="Garamond" w:cs="Times New Roman"/>
          <w:color w:val="auto"/>
          <w:lang w:bidi="ar-SA"/>
        </w:rPr>
        <w:t>lvt</w:t>
      </w:r>
      <w:proofErr w:type="spellEnd"/>
      <w:r w:rsidRPr="00851369">
        <w:rPr>
          <w:rFonts w:ascii="Garamond" w:eastAsia="Times New Roman" w:hAnsi="Garamond" w:cs="Times New Roman"/>
          <w:color w:val="auto"/>
          <w:lang w:bidi="ar-SA"/>
        </w:rPr>
        <w:t xml:space="preserve"> powinny być odporne na meble z kółkami wg EN 425 oraz muszą posiadać odpowiednią klasę palności w budynkach użyteczności publicznej wg EN 13501-1 tj. Bfl-s1. Dodatkowo warstwa wierzchnia powinna być dwukrotnie pokryta powłoką UV.</w:t>
      </w:r>
    </w:p>
    <w:p w14:paraId="4A22358F" w14:textId="77777777" w:rsidR="00150D46" w:rsidRPr="00150D46" w:rsidRDefault="00150D46" w:rsidP="00150D46">
      <w:pPr>
        <w:widowControl/>
        <w:autoSpaceDE w:val="0"/>
        <w:autoSpaceDN w:val="0"/>
        <w:spacing w:line="360" w:lineRule="auto"/>
        <w:ind w:left="720"/>
        <w:contextualSpacing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1D6D989A" w14:textId="77777777" w:rsidR="00150D46" w:rsidRPr="00150D46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08403C5" w14:textId="77777777" w:rsidR="00150D46" w:rsidRPr="00150D46" w:rsidRDefault="00150D46" w:rsidP="00150D46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33915C68" w14:textId="77777777" w:rsidR="00150D46" w:rsidRPr="00150D46" w:rsidRDefault="00150D46" w:rsidP="00150D4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Szczegółowy opis przedmiotu zamówienia został opisany w załączonym Przedmiarze robót.</w:t>
      </w:r>
    </w:p>
    <w:p w14:paraId="6A92D254" w14:textId="77777777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Roboty budowlane objęte zamówieniem będą wykonywane w czynnym obiekcie sądowym. Roboty w pokojach biurowych oraz prace powodujące hałas, należy prowadzić w dni wolne od pracy oraz po godzinach pracy sądu, tj. w poniedziałki po godz. 18:00, wtorki – piątki po godz. 16.00. Teren robót należy odpowiednio zabezpieczyć, wygrodzić i oznakować. W pokojach biurowych roboty będą prowadzone po wcześniejszym uzgodnieniu z użytkownikiem pomieszczeń. </w:t>
      </w:r>
    </w:p>
    <w:p w14:paraId="1D9BC479" w14:textId="77777777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Zalecane jest dokonanie wizji lokalnej, w celu sprawdzenia warunków dotyczących wykonania robót remontowych, będących przedmiotem zamówienia. Zamawiający wyklucza ewentualną możliwość roszczeń oferenta z tytułu błędnego skalkulowania wyceny bądź pominięcia elementów niezbędnych do wykonania przedmiotu zmówienia. </w:t>
      </w:r>
    </w:p>
    <w:p w14:paraId="7BCD1545" w14:textId="77777777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Wszelkie roboty, które nie zostaną przewidziane na etapie sporządzenia oferty, a konieczne do wykonania lub wynikające z ustawy Prawo budowlane, warunków technicznych – stanowią element ryzyka i zostaną wykonane na koszt Wykonawcy. Cena ofertowa jest ryczałtową i wobec tego winna zawierać wszystkie koszty wykonania przedmiotu zamówienia, konieczne do wykonania przedmiotu zamówienia. </w:t>
      </w:r>
    </w:p>
    <w:p w14:paraId="05B5E491" w14:textId="77777777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Zamawiający nie przewiduje możliwości udzielania zaliczek na poczet wykonania zamówienia. </w:t>
      </w:r>
    </w:p>
    <w:p w14:paraId="2E0E42C1" w14:textId="1D4DC595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Powstałe podczas prowadzenia robót odpady zagospodaruje Wykonawca. Utylizację należy przeprowadzić zgodnie z przepisami ustawy z dnia 14 grudnia 2012 r. o odpadach (</w:t>
      </w:r>
      <w:proofErr w:type="spellStart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t.j</w:t>
      </w:r>
      <w:proofErr w:type="spellEnd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. Dz. U. z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2023 r. poz. 1587 ze zmianami) i jej koszt uwzględnić w cenie ofertowej. </w:t>
      </w:r>
    </w:p>
    <w:p w14:paraId="7423A2CD" w14:textId="77777777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Zamawiający wymaga udzielenia przez Wykonawcę min. 3 letniej gwarancji na wykonane roboty i wbudowane materiały. </w:t>
      </w:r>
    </w:p>
    <w:p w14:paraId="162997A0" w14:textId="1C942E7F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Na Wykonawcy spoczywa obowiązek sporządzenia dokumentacji powykonawczej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 xml:space="preserve"> 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w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3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egzemplarzach w formie papierowej i elektronicznej. </w:t>
      </w:r>
    </w:p>
    <w:p w14:paraId="54AA800F" w14:textId="77777777" w:rsidR="00150D46" w:rsidRPr="00150D46" w:rsidRDefault="00150D46">
      <w:pPr>
        <w:widowControl/>
        <w:numPr>
          <w:ilvl w:val="0"/>
          <w:numId w:val="1"/>
        </w:numPr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Przekazanie placu budowy </w:t>
      </w:r>
      <w:r w:rsidRPr="00851369">
        <w:rPr>
          <w:rFonts w:ascii="Garamond" w:eastAsiaTheme="minorHAnsi" w:hAnsi="Garamond" w:cs="Times New Roman"/>
          <w:color w:val="auto"/>
          <w:lang w:eastAsia="en-US" w:bidi="ar-SA"/>
        </w:rPr>
        <w:t>nastąpi w terminie 2 dni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od daty zawarcia umowy.</w:t>
      </w:r>
    </w:p>
    <w:p w14:paraId="2BFF9C5D" w14:textId="5720BFFA" w:rsidR="00150D46" w:rsidRPr="00150D46" w:rsidRDefault="00150D46">
      <w:pPr>
        <w:widowControl/>
        <w:numPr>
          <w:ilvl w:val="0"/>
          <w:numId w:val="1"/>
        </w:numPr>
        <w:tabs>
          <w:tab w:val="left" w:pos="284"/>
        </w:tabs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Obowiązek zatrudnienia na umowę o pracę: Zamawiający, w związku z treścią art. 95 ust. 1 ustawy, informuje, że wymaga aby osoby wykonujące prace fizyczne w zakresie realizacji przedmiotu zamówienia były zatrudnione przez Wykonawcę lub Podwykonawcę na podstawie umowy o pracę, gdyż wykonanie tych czynności polega na wykonywaniu pracy w sposób określony w art. 22 § 1 ustawy z dnia 26 czerwca 1974 r. – Kodeks pracy (tekst jednolity: Dz. U. z 202</w:t>
      </w:r>
      <w:r>
        <w:rPr>
          <w:rFonts w:ascii="Garamond" w:eastAsiaTheme="minorHAnsi" w:hAnsi="Garamond" w:cs="Times New Roman"/>
          <w:color w:val="auto"/>
          <w:lang w:eastAsia="en-US" w:bidi="ar-SA"/>
        </w:rPr>
        <w:t>5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Theme="minorHAnsi" w:hAnsi="Garamond" w:cs="Times New Roman"/>
          <w:color w:val="auto"/>
          <w:lang w:eastAsia="en-US" w:bidi="ar-SA"/>
        </w:rPr>
        <w:t>277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ze zm.). Zamawiający wymaga, aby Wykonawca w trakcie realizacji zamówienia stosował przepisy wynikające z aktualnych aktów wykonawczych do ustawy z dnia 10 października 2002 r. o minimalnym wynagrodzeniu za pracę (</w:t>
      </w:r>
      <w:proofErr w:type="spellStart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t.j</w:t>
      </w:r>
      <w:proofErr w:type="spellEnd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. Dz. U. z 202</w:t>
      </w:r>
      <w:r>
        <w:rPr>
          <w:rFonts w:ascii="Garamond" w:eastAsiaTheme="minorHAnsi" w:hAnsi="Garamond" w:cs="Times New Roman"/>
          <w:color w:val="auto"/>
          <w:lang w:eastAsia="en-US" w:bidi="ar-SA"/>
        </w:rPr>
        <w:t>4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Theme="minorHAnsi" w:hAnsi="Garamond" w:cs="Times New Roman"/>
          <w:color w:val="auto"/>
          <w:lang w:eastAsia="en-US" w:bidi="ar-SA"/>
        </w:rPr>
        <w:t>1773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), w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zakresie minimalnego wynagrodzenia za pracę. Uprawnienia Zamawiającego w zakresie 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lastRenderedPageBreak/>
        <w:t xml:space="preserve">kontroli spełniania przez Wykonawcę wymagań, o których mowa powyżej - zgodnie z art. 438 ustawy </w:t>
      </w:r>
      <w:proofErr w:type="spellStart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Pzp</w:t>
      </w:r>
      <w:proofErr w:type="spellEnd"/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. </w:t>
      </w:r>
    </w:p>
    <w:p w14:paraId="081E5842" w14:textId="4E65E848" w:rsidR="00150D46" w:rsidRPr="00150D46" w:rsidRDefault="00150D46">
      <w:pPr>
        <w:widowControl/>
        <w:numPr>
          <w:ilvl w:val="0"/>
          <w:numId w:val="1"/>
        </w:numPr>
        <w:tabs>
          <w:tab w:val="left" w:pos="284"/>
        </w:tabs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Wizja miejsca objętego przedmiotem zamówienia: Zamawiający zaprasza wszystkich zainteresowanych Wykonawców do dokonania wizji lokalnej miejsca objętego zakresem zamówienia przy ul. Czerniakowskiej 100</w:t>
      </w:r>
      <w:r w:rsidR="00BF390A">
        <w:rPr>
          <w:rFonts w:ascii="Garamond" w:eastAsiaTheme="minorHAnsi" w:hAnsi="Garamond" w:cs="Times New Roman"/>
          <w:color w:val="auto"/>
          <w:lang w:eastAsia="en-US" w:bidi="ar-SA"/>
        </w:rPr>
        <w:t>A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w Warszawie, która w przypadku zainteresowania jej odbyciem, planowana jest w 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dniu </w:t>
      </w:r>
      <w:r w:rsidR="00BF390A" w:rsidRPr="00BF390A">
        <w:rPr>
          <w:rFonts w:ascii="Garamond" w:eastAsiaTheme="minorHAnsi" w:hAnsi="Garamond" w:cs="Times New Roman"/>
          <w:color w:val="auto"/>
          <w:lang w:eastAsia="en-US" w:bidi="ar-SA"/>
        </w:rPr>
        <w:t>11 sierpnia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 202</w:t>
      </w:r>
      <w:r w:rsidR="00851369" w:rsidRPr="00BF390A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 r., o godzinie 10:00. Spotkanie w pokoju 442 budynku przy ul. </w:t>
      </w:r>
      <w:r w:rsidRPr="00BF390A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Czerniakowskiej 100A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 w Warszawie. Wizja zostanie przeprowadzona w</w:t>
      </w:r>
      <w:r w:rsidR="00726393" w:rsidRPr="00BF390A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obecności przedstawiciela Zamawiającego. Osoby zainteresowane wzięciem udziału w wizji, proszone są o zgłoszenie uczestnictwa najpóźniej do dnia </w:t>
      </w:r>
      <w:r w:rsidR="00BF390A" w:rsidRPr="00BF390A">
        <w:rPr>
          <w:rFonts w:ascii="Garamond" w:eastAsiaTheme="minorHAnsi" w:hAnsi="Garamond" w:cs="Times New Roman"/>
          <w:color w:val="auto"/>
          <w:lang w:eastAsia="en-US" w:bidi="ar-SA"/>
        </w:rPr>
        <w:t>10 sierpnia</w:t>
      </w:r>
      <w:r w:rsidR="003B019A"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 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>202</w:t>
      </w:r>
      <w:r w:rsidR="00851369"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6 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r. do godz. </w:t>
      </w:r>
      <w:r w:rsidR="003B019A" w:rsidRPr="00BF390A">
        <w:rPr>
          <w:rFonts w:ascii="Garamond" w:eastAsiaTheme="minorHAnsi" w:hAnsi="Garamond" w:cs="Times New Roman"/>
          <w:color w:val="auto"/>
          <w:lang w:eastAsia="en-US" w:bidi="ar-SA"/>
        </w:rPr>
        <w:t>14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 xml:space="preserve">:00 na adres mailowy </w:t>
      </w:r>
      <w:hyperlink r:id="rId7" w:history="1">
        <w:r w:rsidRPr="00BF390A">
          <w:rPr>
            <w:rFonts w:ascii="Garamond" w:eastAsia="Andale Sans UI" w:hAnsi="Garamond" w:cs="Times New Roman"/>
            <w:color w:val="0563C1" w:themeColor="hyperlink"/>
            <w:kern w:val="3"/>
            <w:u w:val="single"/>
            <w:lang w:bidi="ar-SA"/>
          </w:rPr>
          <w:t>zamowienia.publiczne@warszawa.sr.gov.pl</w:t>
        </w:r>
      </w:hyperlink>
      <w:r w:rsidRPr="00BF390A">
        <w:t xml:space="preserve">. </w:t>
      </w:r>
      <w:r w:rsidRPr="00BF390A">
        <w:rPr>
          <w:rFonts w:ascii="Garamond" w:eastAsiaTheme="minorHAnsi" w:hAnsi="Garamond" w:cs="Times New Roman"/>
          <w:color w:val="auto"/>
          <w:lang w:eastAsia="en-US" w:bidi="ar-SA"/>
        </w:rPr>
        <w:t>W przypadku braku zgłoszeń uczestnictwa, wizja nie odbędzie się. Udział w wizji lokalnej jest obowiązkowy, a zatem będą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 miały zastosowania postanowienia art. 226 ust. 1 pkt 18 ustawy. </w:t>
      </w:r>
    </w:p>
    <w:p w14:paraId="0F2C7F7F" w14:textId="0F393BB4" w:rsidR="00150D46" w:rsidRPr="00150D46" w:rsidRDefault="00150D46">
      <w:pPr>
        <w:widowControl/>
        <w:numPr>
          <w:ilvl w:val="0"/>
          <w:numId w:val="1"/>
        </w:numPr>
        <w:tabs>
          <w:tab w:val="left" w:pos="284"/>
        </w:tabs>
        <w:spacing w:after="160" w:line="259" w:lineRule="auto"/>
        <w:ind w:left="142" w:hanging="284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>Wykonawca przed przystąpienie do prac malarskich oraz montażowych uzgodni kolorystykę ścian jak również kolorystykę użytych materiałów w tym wykładziny winylowej oraz parapetów z</w:t>
      </w:r>
      <w:r w:rsidR="00726393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konglomeratu z  Zamawiającym. </w:t>
      </w:r>
    </w:p>
    <w:p w14:paraId="3923E25C" w14:textId="77777777" w:rsidR="00150D46" w:rsidRPr="00150D46" w:rsidRDefault="00150D46" w:rsidP="00150D46">
      <w:pPr>
        <w:widowControl/>
        <w:tabs>
          <w:tab w:val="left" w:pos="284"/>
        </w:tabs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30AFB83E" w14:textId="77777777" w:rsidR="00150D46" w:rsidRPr="00150D46" w:rsidRDefault="00150D46" w:rsidP="00150D46">
      <w:pPr>
        <w:widowControl/>
        <w:tabs>
          <w:tab w:val="left" w:pos="284"/>
        </w:tabs>
        <w:spacing w:after="160" w:line="259" w:lineRule="auto"/>
        <w:ind w:left="142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603BEDAD" w14:textId="77777777" w:rsidR="00150D46" w:rsidRPr="00150D46" w:rsidRDefault="00150D46" w:rsidP="00150D46">
      <w:pPr>
        <w:widowControl/>
        <w:tabs>
          <w:tab w:val="left" w:pos="284"/>
        </w:tabs>
        <w:spacing w:after="160" w:line="259" w:lineRule="auto"/>
        <w:ind w:left="142"/>
        <w:contextualSpacing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619E6CD" w14:textId="77777777" w:rsidR="00150D46" w:rsidRPr="00150D46" w:rsidRDefault="00150D46" w:rsidP="00150D46">
      <w:pPr>
        <w:widowControl/>
        <w:spacing w:after="160" w:line="259" w:lineRule="auto"/>
        <w:ind w:left="-142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Załączniki: </w:t>
      </w:r>
    </w:p>
    <w:p w14:paraId="5AB84852" w14:textId="77777777" w:rsidR="00150D46" w:rsidRPr="00150D46" w:rsidRDefault="00150D46" w:rsidP="00150D46">
      <w:pPr>
        <w:widowControl/>
        <w:spacing w:after="160" w:line="259" w:lineRule="auto"/>
        <w:ind w:left="-142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1. przedmiar robót </w:t>
      </w:r>
    </w:p>
    <w:p w14:paraId="6ABB69BF" w14:textId="77777777" w:rsidR="00150D46" w:rsidRPr="00150D46" w:rsidRDefault="00150D46" w:rsidP="00150D46">
      <w:pPr>
        <w:widowControl/>
        <w:spacing w:after="160" w:line="259" w:lineRule="auto"/>
        <w:ind w:left="-142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150D46">
        <w:rPr>
          <w:rFonts w:ascii="Garamond" w:eastAsiaTheme="minorHAnsi" w:hAnsi="Garamond" w:cs="Times New Roman"/>
          <w:color w:val="auto"/>
          <w:lang w:eastAsia="en-US" w:bidi="ar-SA"/>
        </w:rPr>
        <w:t xml:space="preserve">2. BIOZ-wymagania ogólne, </w:t>
      </w:r>
    </w:p>
    <w:p w14:paraId="499DB833" w14:textId="6691C25C" w:rsidR="00525981" w:rsidRPr="00150D46" w:rsidRDefault="00525981" w:rsidP="00150D46">
      <w:pPr>
        <w:rPr>
          <w:rFonts w:ascii="Garamond" w:hAnsi="Garamond"/>
        </w:rPr>
      </w:pPr>
    </w:p>
    <w:sectPr w:rsidR="00525981" w:rsidRPr="00150D46" w:rsidSect="00A31172">
      <w:headerReference w:type="default" r:id="rId8"/>
      <w:footerReference w:type="even" r:id="rId9"/>
      <w:footerReference w:type="default" r:id="rId10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59C5" w14:textId="77777777" w:rsidR="00F70FBF" w:rsidRDefault="00F70FBF" w:rsidP="00FD44BA">
      <w:r>
        <w:separator/>
      </w:r>
    </w:p>
  </w:endnote>
  <w:endnote w:type="continuationSeparator" w:id="0">
    <w:p w14:paraId="460361CF" w14:textId="77777777" w:rsidR="00F70FBF" w:rsidRDefault="00F70FBF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59958" w14:textId="77777777" w:rsidR="00F70FBF" w:rsidRDefault="00F70FBF" w:rsidP="00FD44BA">
      <w:r>
        <w:separator/>
      </w:r>
    </w:p>
  </w:footnote>
  <w:footnote w:type="continuationSeparator" w:id="0">
    <w:p w14:paraId="5027898B" w14:textId="77777777" w:rsidR="00F70FBF" w:rsidRDefault="00F70FBF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A8D6276"/>
    <w:multiLevelType w:val="hybridMultilevel"/>
    <w:tmpl w:val="1AD4B98C"/>
    <w:lvl w:ilvl="0" w:tplc="2E12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106CC"/>
    <w:multiLevelType w:val="hybridMultilevel"/>
    <w:tmpl w:val="7C74E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156493">
    <w:abstractNumId w:val="6"/>
  </w:num>
  <w:num w:numId="2" w16cid:durableId="113583362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0B79"/>
    <w:rsid w:val="00007F82"/>
    <w:rsid w:val="0001557B"/>
    <w:rsid w:val="00040B7E"/>
    <w:rsid w:val="000474CD"/>
    <w:rsid w:val="0007240C"/>
    <w:rsid w:val="000870E9"/>
    <w:rsid w:val="000E310E"/>
    <w:rsid w:val="00131219"/>
    <w:rsid w:val="00150D46"/>
    <w:rsid w:val="0016421E"/>
    <w:rsid w:val="00176A9B"/>
    <w:rsid w:val="001827EB"/>
    <w:rsid w:val="001861E6"/>
    <w:rsid w:val="001B4377"/>
    <w:rsid w:val="001B5EBA"/>
    <w:rsid w:val="00213646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B019A"/>
    <w:rsid w:val="003C4901"/>
    <w:rsid w:val="003C4C98"/>
    <w:rsid w:val="003C716F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03195"/>
    <w:rsid w:val="00611ECD"/>
    <w:rsid w:val="00612128"/>
    <w:rsid w:val="006354C5"/>
    <w:rsid w:val="00654808"/>
    <w:rsid w:val="00655F17"/>
    <w:rsid w:val="006618C2"/>
    <w:rsid w:val="006A3DA6"/>
    <w:rsid w:val="006C4B84"/>
    <w:rsid w:val="006D4E16"/>
    <w:rsid w:val="00722DBA"/>
    <w:rsid w:val="00726393"/>
    <w:rsid w:val="00744028"/>
    <w:rsid w:val="00744668"/>
    <w:rsid w:val="007B73B1"/>
    <w:rsid w:val="0080508B"/>
    <w:rsid w:val="00806A7B"/>
    <w:rsid w:val="00844164"/>
    <w:rsid w:val="00851369"/>
    <w:rsid w:val="00852B2D"/>
    <w:rsid w:val="0089335B"/>
    <w:rsid w:val="008B6DA9"/>
    <w:rsid w:val="008E3991"/>
    <w:rsid w:val="008E52D0"/>
    <w:rsid w:val="00932ED6"/>
    <w:rsid w:val="009419A6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40210"/>
    <w:rsid w:val="00A6501A"/>
    <w:rsid w:val="00A904A7"/>
    <w:rsid w:val="00A9430C"/>
    <w:rsid w:val="00AB48BB"/>
    <w:rsid w:val="00AE67C6"/>
    <w:rsid w:val="00B26E29"/>
    <w:rsid w:val="00B54091"/>
    <w:rsid w:val="00B62C80"/>
    <w:rsid w:val="00BA4624"/>
    <w:rsid w:val="00BA5207"/>
    <w:rsid w:val="00BE54A4"/>
    <w:rsid w:val="00BF0910"/>
    <w:rsid w:val="00BF390A"/>
    <w:rsid w:val="00C02925"/>
    <w:rsid w:val="00C12DD4"/>
    <w:rsid w:val="00C23C03"/>
    <w:rsid w:val="00C35B67"/>
    <w:rsid w:val="00C447F5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C6EA8"/>
    <w:rsid w:val="00DD5518"/>
    <w:rsid w:val="00DD7E4D"/>
    <w:rsid w:val="00DE2F21"/>
    <w:rsid w:val="00DF26D2"/>
    <w:rsid w:val="00E0119A"/>
    <w:rsid w:val="00E16903"/>
    <w:rsid w:val="00E545BB"/>
    <w:rsid w:val="00E63E07"/>
    <w:rsid w:val="00E64051"/>
    <w:rsid w:val="00E71933"/>
    <w:rsid w:val="00E82C0A"/>
    <w:rsid w:val="00EA52C8"/>
    <w:rsid w:val="00EA7957"/>
    <w:rsid w:val="00EC1DFB"/>
    <w:rsid w:val="00F15112"/>
    <w:rsid w:val="00F23A30"/>
    <w:rsid w:val="00F429C1"/>
    <w:rsid w:val="00F54516"/>
    <w:rsid w:val="00F70FBF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.publiczne@warszawa.s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8</cp:revision>
  <cp:lastPrinted>2024-06-03T06:32:00Z</cp:lastPrinted>
  <dcterms:created xsi:type="dcterms:W3CDTF">2026-07-01T11:44:00Z</dcterms:created>
  <dcterms:modified xsi:type="dcterms:W3CDTF">2026-07-31T05:13:00Z</dcterms:modified>
</cp:coreProperties>
</file>